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7A34" w14:textId="58FC6D0C" w:rsidR="003176D4" w:rsidRPr="009B5D58" w:rsidRDefault="009B5D58">
      <w:pPr>
        <w:rPr>
          <w:b/>
          <w:bCs/>
          <w:sz w:val="32"/>
          <w:szCs w:val="32"/>
        </w:rPr>
      </w:pPr>
      <w:r w:rsidRPr="009B5D58">
        <w:rPr>
          <w:b/>
          <w:bCs/>
          <w:sz w:val="32"/>
          <w:szCs w:val="32"/>
        </w:rPr>
        <w:t>29</w:t>
      </w:r>
      <w:r w:rsidRPr="009B5D58">
        <w:rPr>
          <w:b/>
          <w:bCs/>
          <w:sz w:val="32"/>
          <w:szCs w:val="32"/>
          <w:vertAlign w:val="superscript"/>
        </w:rPr>
        <w:t>th</w:t>
      </w:r>
      <w:r w:rsidRPr="009B5D58">
        <w:rPr>
          <w:b/>
          <w:bCs/>
          <w:sz w:val="32"/>
          <w:szCs w:val="32"/>
        </w:rPr>
        <w:t xml:space="preserve"> Per Annum, 2026</w:t>
      </w:r>
    </w:p>
    <w:p w14:paraId="375EAF13" w14:textId="214862A4" w:rsidR="00F1708C" w:rsidRDefault="00160CB9" w:rsidP="008F0BB1">
      <w:pPr>
        <w:jc w:val="both"/>
        <w:rPr>
          <w:sz w:val="32"/>
          <w:szCs w:val="32"/>
        </w:rPr>
      </w:pPr>
      <w:r>
        <w:rPr>
          <w:sz w:val="32"/>
          <w:szCs w:val="32"/>
        </w:rPr>
        <w:t xml:space="preserve">“All Scripture is breathed out by God and profitable for teaching, for reproof, for correction, and for training in righteousness.” </w:t>
      </w:r>
      <w:r w:rsidR="00F1708C">
        <w:rPr>
          <w:sz w:val="32"/>
          <w:szCs w:val="32"/>
        </w:rPr>
        <w:t>That’s quite a claim</w:t>
      </w:r>
      <w:r w:rsidR="007F2658">
        <w:rPr>
          <w:sz w:val="32"/>
          <w:szCs w:val="32"/>
        </w:rPr>
        <w:t xml:space="preserve">: what do we mean by it? </w:t>
      </w:r>
    </w:p>
    <w:p w14:paraId="318BF9AA" w14:textId="2B74343E" w:rsidR="007F2658" w:rsidRDefault="007F2658" w:rsidP="008F0BB1">
      <w:pPr>
        <w:jc w:val="both"/>
        <w:rPr>
          <w:sz w:val="32"/>
          <w:szCs w:val="32"/>
        </w:rPr>
      </w:pPr>
      <w:r>
        <w:rPr>
          <w:sz w:val="32"/>
          <w:szCs w:val="32"/>
        </w:rPr>
        <w:t xml:space="preserve">For a start, what </w:t>
      </w:r>
      <w:r>
        <w:rPr>
          <w:i/>
          <w:iCs/>
          <w:sz w:val="32"/>
          <w:szCs w:val="32"/>
        </w:rPr>
        <w:t xml:space="preserve">is </w:t>
      </w:r>
      <w:r>
        <w:rPr>
          <w:sz w:val="32"/>
          <w:szCs w:val="32"/>
        </w:rPr>
        <w:t xml:space="preserve">Scripture? Earlier in the passage, S. Paul refers to the ‘sacred writings,’ by which he means what we call the Old Testament. But when Christians use the term, we mean the Old and New Testaments together: both are God-breathed, inspired by the Lord, and both are </w:t>
      </w:r>
      <w:r w:rsidR="004B3C22">
        <w:rPr>
          <w:sz w:val="32"/>
          <w:szCs w:val="32"/>
        </w:rPr>
        <w:t>“</w:t>
      </w:r>
      <w:r>
        <w:rPr>
          <w:sz w:val="32"/>
          <w:szCs w:val="32"/>
        </w:rPr>
        <w:t>useful.</w:t>
      </w:r>
      <w:r w:rsidR="004B3C22">
        <w:rPr>
          <w:sz w:val="32"/>
          <w:szCs w:val="32"/>
        </w:rPr>
        <w:t>”</w:t>
      </w:r>
    </w:p>
    <w:p w14:paraId="20840E08" w14:textId="5CF3FBC5" w:rsidR="007F2658" w:rsidRDefault="007F2658" w:rsidP="008F0BB1">
      <w:pPr>
        <w:jc w:val="both"/>
        <w:rPr>
          <w:sz w:val="32"/>
          <w:szCs w:val="32"/>
        </w:rPr>
      </w:pPr>
      <w:r>
        <w:rPr>
          <w:sz w:val="32"/>
          <w:szCs w:val="32"/>
        </w:rPr>
        <w:t>But how do we know what the Scriptures are? If you open your Bible, you’ll find a contents page with the 46 books of the Old and the 27 books of the New Testament. (if your Bible has less than that, you</w:t>
      </w:r>
      <w:r w:rsidR="00FE3696">
        <w:rPr>
          <w:sz w:val="32"/>
          <w:szCs w:val="32"/>
        </w:rPr>
        <w:t>’</w:t>
      </w:r>
      <w:r>
        <w:rPr>
          <w:sz w:val="32"/>
          <w:szCs w:val="32"/>
        </w:rPr>
        <w:t xml:space="preserve">re holding Protestant </w:t>
      </w:r>
      <w:r w:rsidR="00FE3696">
        <w:rPr>
          <w:sz w:val="32"/>
          <w:szCs w:val="32"/>
        </w:rPr>
        <w:t>redaction</w:t>
      </w:r>
      <w:r>
        <w:rPr>
          <w:sz w:val="32"/>
          <w:szCs w:val="32"/>
        </w:rPr>
        <w:t xml:space="preserve">). But that contents page isn’t part of the Bible, it isn’t Scriptural. In fact, the Bible doesn’t anywhere tell us what’s </w:t>
      </w:r>
      <w:r w:rsidRPr="007F2658">
        <w:rPr>
          <w:i/>
          <w:iCs/>
          <w:sz w:val="32"/>
          <w:szCs w:val="32"/>
        </w:rPr>
        <w:t>in</w:t>
      </w:r>
      <w:r>
        <w:rPr>
          <w:sz w:val="32"/>
          <w:szCs w:val="32"/>
        </w:rPr>
        <w:t xml:space="preserve"> the Bible</w:t>
      </w:r>
      <w:r w:rsidR="006F4720">
        <w:rPr>
          <w:sz w:val="32"/>
          <w:szCs w:val="32"/>
        </w:rPr>
        <w:t>.</w:t>
      </w:r>
    </w:p>
    <w:p w14:paraId="1EE3CA85" w14:textId="7C312171" w:rsidR="006F4720" w:rsidRDefault="006F4720" w:rsidP="008F0BB1">
      <w:pPr>
        <w:jc w:val="both"/>
        <w:rPr>
          <w:sz w:val="32"/>
          <w:szCs w:val="32"/>
        </w:rPr>
      </w:pPr>
      <w:r>
        <w:rPr>
          <w:sz w:val="32"/>
          <w:szCs w:val="32"/>
        </w:rPr>
        <w:t>This is a huge problem for those Protestants who believe in ‘</w:t>
      </w:r>
      <w:r>
        <w:rPr>
          <w:i/>
          <w:iCs/>
          <w:sz w:val="32"/>
          <w:szCs w:val="32"/>
        </w:rPr>
        <w:t xml:space="preserve">sola Scriptura,’ </w:t>
      </w:r>
      <w:r>
        <w:rPr>
          <w:sz w:val="32"/>
          <w:szCs w:val="32"/>
        </w:rPr>
        <w:t xml:space="preserve">(and not all of them do), the idea that the only authority in our faith is the Bible, because it requires by definition another authority to tell us what the Bible is. Happily it’s not a problem for </w:t>
      </w:r>
      <w:r w:rsidR="001C6496">
        <w:rPr>
          <w:sz w:val="32"/>
          <w:szCs w:val="32"/>
        </w:rPr>
        <w:t>Catholics</w:t>
      </w:r>
      <w:r>
        <w:rPr>
          <w:sz w:val="32"/>
          <w:szCs w:val="32"/>
        </w:rPr>
        <w:t>, because we already accept that authority: it’s the Church.</w:t>
      </w:r>
    </w:p>
    <w:p w14:paraId="12F564C8" w14:textId="77777777" w:rsidR="004D2C37" w:rsidRDefault="006F4720" w:rsidP="008F0BB1">
      <w:pPr>
        <w:jc w:val="both"/>
        <w:rPr>
          <w:sz w:val="32"/>
          <w:szCs w:val="32"/>
        </w:rPr>
      </w:pPr>
      <w:r>
        <w:rPr>
          <w:sz w:val="32"/>
          <w:szCs w:val="32"/>
        </w:rPr>
        <w:t>The Church gives us the Scriptures. This didn’t happen all at once, and the definitive list was only promulgated after the Council of Rome in the fourth century</w:t>
      </w:r>
      <w:r w:rsidR="008B1B44">
        <w:rPr>
          <w:sz w:val="32"/>
          <w:szCs w:val="32"/>
        </w:rPr>
        <w:t xml:space="preserve">. </w:t>
      </w:r>
      <w:r w:rsidR="004D2C37">
        <w:rPr>
          <w:sz w:val="32"/>
          <w:szCs w:val="32"/>
        </w:rPr>
        <w:t>Without the Church we don’t have the Bible: we don’t know which human writings are “breathed out by God.”</w:t>
      </w:r>
    </w:p>
    <w:p w14:paraId="39DE43E7" w14:textId="7ED03A3F" w:rsidR="006F4720" w:rsidRDefault="004D2C37" w:rsidP="008F0BB1">
      <w:pPr>
        <w:jc w:val="both"/>
        <w:rPr>
          <w:sz w:val="32"/>
          <w:szCs w:val="32"/>
        </w:rPr>
      </w:pPr>
      <w:r>
        <w:rPr>
          <w:sz w:val="32"/>
          <w:szCs w:val="32"/>
        </w:rPr>
        <w:t xml:space="preserve">That’s important. There are many works which are full of good sense, which help us to holiness, and which contain truth, from the second century letters of S. Ignatius, whose feast we kept on Friday, to the writings of Pope Benedict, who died </w:t>
      </w:r>
      <w:r w:rsidR="0053017A">
        <w:rPr>
          <w:sz w:val="32"/>
          <w:szCs w:val="32"/>
        </w:rPr>
        <w:t xml:space="preserve">just </w:t>
      </w:r>
      <w:r>
        <w:rPr>
          <w:sz w:val="32"/>
          <w:szCs w:val="32"/>
        </w:rPr>
        <w:t>four years ago. The Church holds out to us the Doctors of the Church, great thinkers like S. Augustine, S. Gregory, S. Jerome, S. Ambrose – and of course S. Thomas Aquinas! – as excellent teachers of the faith</w:t>
      </w:r>
      <w:r w:rsidR="0053017A">
        <w:rPr>
          <w:sz w:val="32"/>
          <w:szCs w:val="32"/>
        </w:rPr>
        <w:t>.</w:t>
      </w:r>
    </w:p>
    <w:p w14:paraId="4B7519DE" w14:textId="7B485149" w:rsidR="00A10C19" w:rsidRDefault="004D2C37" w:rsidP="008F0BB1">
      <w:pPr>
        <w:jc w:val="both"/>
        <w:rPr>
          <w:sz w:val="32"/>
          <w:szCs w:val="32"/>
        </w:rPr>
      </w:pPr>
      <w:r>
        <w:rPr>
          <w:sz w:val="32"/>
          <w:szCs w:val="32"/>
        </w:rPr>
        <w:t xml:space="preserve">But Scripture is different. </w:t>
      </w:r>
      <w:r w:rsidR="008E2355">
        <w:rPr>
          <w:sz w:val="32"/>
          <w:szCs w:val="32"/>
        </w:rPr>
        <w:t xml:space="preserve">Scripture is inspired </w:t>
      </w:r>
      <w:r w:rsidR="008E2355" w:rsidRPr="008E2355">
        <w:rPr>
          <w:i/>
          <w:iCs/>
          <w:sz w:val="32"/>
          <w:szCs w:val="32"/>
        </w:rPr>
        <w:t>directly</w:t>
      </w:r>
      <w:r w:rsidR="008E2355">
        <w:rPr>
          <w:sz w:val="32"/>
          <w:szCs w:val="32"/>
        </w:rPr>
        <w:t xml:space="preserve"> by God</w:t>
      </w:r>
      <w:r w:rsidR="006165B4">
        <w:rPr>
          <w:sz w:val="32"/>
          <w:szCs w:val="32"/>
        </w:rPr>
        <w:t xml:space="preserve">: we call it ‘the word of </w:t>
      </w:r>
      <w:r w:rsidR="00A10C19">
        <w:rPr>
          <w:sz w:val="32"/>
          <w:szCs w:val="32"/>
        </w:rPr>
        <w:t>the Lord,</w:t>
      </w:r>
      <w:r w:rsidR="006165B4">
        <w:rPr>
          <w:sz w:val="32"/>
          <w:szCs w:val="32"/>
        </w:rPr>
        <w:t>’</w:t>
      </w:r>
      <w:r w:rsidR="00A10C19">
        <w:rPr>
          <w:sz w:val="32"/>
          <w:szCs w:val="32"/>
        </w:rPr>
        <w:t xml:space="preserve"> at the end of the readings. That means that we can trust that Holy Scripture says </w:t>
      </w:r>
      <w:r w:rsidR="00A10C19">
        <w:rPr>
          <w:i/>
          <w:iCs/>
          <w:sz w:val="32"/>
          <w:szCs w:val="32"/>
        </w:rPr>
        <w:t xml:space="preserve">exactly </w:t>
      </w:r>
      <w:r w:rsidR="00A10C19">
        <w:rPr>
          <w:sz w:val="32"/>
          <w:szCs w:val="32"/>
        </w:rPr>
        <w:t>what God intended it to say, in a way which isn’t true of the writings of Popes or theologians – not even S. Thomas!</w:t>
      </w:r>
    </w:p>
    <w:p w14:paraId="73786331" w14:textId="2BB690FD" w:rsidR="00F97B2E" w:rsidRDefault="00F97B2E" w:rsidP="008F0BB1">
      <w:pPr>
        <w:jc w:val="both"/>
        <w:rPr>
          <w:sz w:val="32"/>
          <w:szCs w:val="32"/>
        </w:rPr>
      </w:pPr>
      <w:r>
        <w:rPr>
          <w:sz w:val="32"/>
          <w:szCs w:val="32"/>
        </w:rPr>
        <w:t xml:space="preserve">But here we must make a distinction. We believe Scripture to be the word of God, but also the work of men. We said ‘the word of the Lord’ at the end of our second </w:t>
      </w:r>
      <w:r>
        <w:rPr>
          <w:sz w:val="32"/>
          <w:szCs w:val="32"/>
        </w:rPr>
        <w:lastRenderedPageBreak/>
        <w:t xml:space="preserve">reading, </w:t>
      </w:r>
      <w:r w:rsidR="00C67273">
        <w:rPr>
          <w:sz w:val="32"/>
          <w:szCs w:val="32"/>
        </w:rPr>
        <w:t>but</w:t>
      </w:r>
      <w:r>
        <w:rPr>
          <w:sz w:val="32"/>
          <w:szCs w:val="32"/>
        </w:rPr>
        <w:t xml:space="preserve"> we began it by saying ‘A reading from the second letter </w:t>
      </w:r>
      <w:r>
        <w:rPr>
          <w:i/>
          <w:iCs/>
          <w:sz w:val="32"/>
          <w:szCs w:val="32"/>
        </w:rPr>
        <w:t>of S. Paul</w:t>
      </w:r>
      <w:r>
        <w:rPr>
          <w:i/>
          <w:iCs/>
        </w:rPr>
        <w:t xml:space="preserve"> </w:t>
      </w:r>
      <w:r>
        <w:rPr>
          <w:sz w:val="32"/>
          <w:szCs w:val="32"/>
        </w:rPr>
        <w:t xml:space="preserve">to Timothy.’ Both are true: God inspired S. Paul to write it, and S. Paul used his own gifts, talents, and qualities to do so, as God intended. </w:t>
      </w:r>
    </w:p>
    <w:p w14:paraId="0670FC75" w14:textId="7ADD8B8B" w:rsidR="004D2C37" w:rsidRDefault="00F97B2E" w:rsidP="008F0BB1">
      <w:pPr>
        <w:jc w:val="both"/>
        <w:rPr>
          <w:sz w:val="32"/>
          <w:szCs w:val="32"/>
        </w:rPr>
      </w:pPr>
      <w:r>
        <w:rPr>
          <w:sz w:val="32"/>
          <w:szCs w:val="32"/>
        </w:rPr>
        <w:t xml:space="preserve">The sacred authors are not simply scribes, writing down what they hear from God, but real authors, writing the words God intended them to write using the natural and supernatural faculties and powers available to them. That’s why S. Paul’s letters </w:t>
      </w:r>
      <w:r>
        <w:rPr>
          <w:i/>
          <w:iCs/>
          <w:sz w:val="32"/>
          <w:szCs w:val="32"/>
        </w:rPr>
        <w:t xml:space="preserve">sound </w:t>
      </w:r>
      <w:r>
        <w:rPr>
          <w:sz w:val="32"/>
          <w:szCs w:val="32"/>
        </w:rPr>
        <w:t xml:space="preserve">like S. Paul, and S. John’s writings, Gospel and letters, </w:t>
      </w:r>
      <w:r>
        <w:rPr>
          <w:i/>
          <w:iCs/>
          <w:sz w:val="32"/>
          <w:szCs w:val="32"/>
        </w:rPr>
        <w:t xml:space="preserve">sound </w:t>
      </w:r>
      <w:r>
        <w:rPr>
          <w:sz w:val="32"/>
          <w:szCs w:val="32"/>
        </w:rPr>
        <w:t>like S. John</w:t>
      </w:r>
      <w:r w:rsidR="00336378">
        <w:rPr>
          <w:sz w:val="32"/>
          <w:szCs w:val="32"/>
        </w:rPr>
        <w:t xml:space="preserve">, </w:t>
      </w:r>
      <w:r w:rsidR="00431867">
        <w:rPr>
          <w:sz w:val="32"/>
          <w:szCs w:val="32"/>
        </w:rPr>
        <w:t xml:space="preserve">why you can tell that S. Luke’s Gospel and the Acts of the Apostles are written by the same man; </w:t>
      </w:r>
      <w:r w:rsidR="00336378">
        <w:rPr>
          <w:sz w:val="32"/>
          <w:szCs w:val="32"/>
        </w:rPr>
        <w:t xml:space="preserve">because they really did write them, </w:t>
      </w:r>
      <w:r w:rsidR="00A86E3C">
        <w:rPr>
          <w:sz w:val="32"/>
          <w:szCs w:val="32"/>
        </w:rPr>
        <w:t>on</w:t>
      </w:r>
      <w:r w:rsidR="00336378">
        <w:rPr>
          <w:sz w:val="32"/>
          <w:szCs w:val="32"/>
        </w:rPr>
        <w:t xml:space="preserve"> a human </w:t>
      </w:r>
      <w:r w:rsidR="00A86E3C">
        <w:rPr>
          <w:sz w:val="32"/>
          <w:szCs w:val="32"/>
        </w:rPr>
        <w:t>level</w:t>
      </w:r>
      <w:r w:rsidR="00336378">
        <w:rPr>
          <w:sz w:val="32"/>
          <w:szCs w:val="32"/>
        </w:rPr>
        <w:t xml:space="preserve">, even though they are God’s writings, </w:t>
      </w:r>
      <w:r w:rsidR="00A86E3C">
        <w:rPr>
          <w:sz w:val="32"/>
          <w:szCs w:val="32"/>
        </w:rPr>
        <w:t>on</w:t>
      </w:r>
      <w:r w:rsidR="00336378">
        <w:rPr>
          <w:sz w:val="32"/>
          <w:szCs w:val="32"/>
        </w:rPr>
        <w:t xml:space="preserve"> a divine </w:t>
      </w:r>
      <w:r w:rsidR="00A86E3C">
        <w:rPr>
          <w:sz w:val="32"/>
          <w:szCs w:val="32"/>
        </w:rPr>
        <w:t>level</w:t>
      </w:r>
      <w:r w:rsidR="00336378">
        <w:rPr>
          <w:sz w:val="32"/>
          <w:szCs w:val="32"/>
        </w:rPr>
        <w:t xml:space="preserve">. Grace, even the grace of inspiration, works through nature, and doesn’t replace it. </w:t>
      </w:r>
    </w:p>
    <w:p w14:paraId="4895FA8A" w14:textId="64D69C10" w:rsidR="00007B15" w:rsidRDefault="00DA75A5" w:rsidP="008F0BB1">
      <w:pPr>
        <w:jc w:val="both"/>
        <w:rPr>
          <w:sz w:val="32"/>
          <w:szCs w:val="32"/>
        </w:rPr>
      </w:pPr>
      <w:r>
        <w:rPr>
          <w:sz w:val="32"/>
          <w:szCs w:val="32"/>
        </w:rPr>
        <w:t xml:space="preserve">Because God is the ultimate author of Scripture, it is all true, perfect, and useful for “teaching, for reproof, for correction, and for training in righteousness.” Again we must make some distinctions. </w:t>
      </w:r>
      <w:r w:rsidR="00B37BE7">
        <w:rPr>
          <w:sz w:val="32"/>
          <w:szCs w:val="32"/>
        </w:rPr>
        <w:t>Scripture’s purpose is to teach us about God, our faith, and how to live. It isn’t a scientific textbook</w:t>
      </w:r>
      <w:r w:rsidR="00007B15">
        <w:rPr>
          <w:sz w:val="32"/>
          <w:szCs w:val="32"/>
        </w:rPr>
        <w:t>. It uses many different genres – poetry, chronicle, prophecy, law-code, proverb, eyewitness account, history – to teach, reprove, correct, and train.</w:t>
      </w:r>
    </w:p>
    <w:p w14:paraId="4645B42A" w14:textId="7D11BB3A" w:rsidR="00336378" w:rsidRDefault="00007B15" w:rsidP="008F0BB1">
      <w:pPr>
        <w:jc w:val="both"/>
        <w:rPr>
          <w:sz w:val="32"/>
          <w:szCs w:val="32"/>
        </w:rPr>
      </w:pPr>
      <w:r>
        <w:rPr>
          <w:sz w:val="32"/>
          <w:szCs w:val="32"/>
        </w:rPr>
        <w:t>We can see this in our other readings today: Moses’ lifting up of his arms in prayer (in a manner we still retain today, less dramatically, in the priest’s hands when he prays), and the victory of Israel over Amalek is teaching us a lesson about persevering in prayer</w:t>
      </w:r>
      <w:r w:rsidR="00D27416">
        <w:rPr>
          <w:sz w:val="32"/>
          <w:szCs w:val="32"/>
        </w:rPr>
        <w:t>.</w:t>
      </w:r>
      <w:r>
        <w:rPr>
          <w:sz w:val="32"/>
          <w:szCs w:val="32"/>
        </w:rPr>
        <w:t xml:space="preserve"> </w:t>
      </w:r>
      <w:r w:rsidR="00D27416">
        <w:rPr>
          <w:sz w:val="32"/>
          <w:szCs w:val="32"/>
        </w:rPr>
        <w:t>A</w:t>
      </w:r>
      <w:r>
        <w:rPr>
          <w:sz w:val="32"/>
          <w:szCs w:val="32"/>
        </w:rPr>
        <w:t xml:space="preserve">s long as Moses’ hands were in the position of prayer, the faithful had the upper hand, and when they drooped, the infidel. So we begin to lose our battle with faithlessness, with sin, when we cease to pray. </w:t>
      </w:r>
    </w:p>
    <w:p w14:paraId="29292CAF" w14:textId="7C612818" w:rsidR="002A41AD" w:rsidRDefault="002A41AD" w:rsidP="008F0BB1">
      <w:pPr>
        <w:jc w:val="both"/>
        <w:rPr>
          <w:sz w:val="32"/>
          <w:szCs w:val="32"/>
        </w:rPr>
      </w:pPr>
      <w:r>
        <w:rPr>
          <w:sz w:val="32"/>
          <w:szCs w:val="32"/>
        </w:rPr>
        <w:t xml:space="preserve">And we need support in that, </w:t>
      </w:r>
      <w:r w:rsidR="004D6B9B">
        <w:rPr>
          <w:sz w:val="32"/>
          <w:szCs w:val="32"/>
        </w:rPr>
        <w:t xml:space="preserve">we need </w:t>
      </w:r>
      <w:r>
        <w:rPr>
          <w:sz w:val="32"/>
          <w:szCs w:val="32"/>
        </w:rPr>
        <w:t xml:space="preserve">an Aaron and a Hur to hold up our arms. Now Scripture is infinitely rich, and we might read those two in a number of ways: Aaron is the high priest, Hur is not a priest – Scripture could well be telling us that we need both priestly and lay support in this fight: the help of the sacraments and of faithful Christian friends and community. </w:t>
      </w:r>
    </w:p>
    <w:p w14:paraId="18FCFEC2" w14:textId="5825532E" w:rsidR="00E917D6" w:rsidRDefault="002A41AD" w:rsidP="008F0BB1">
      <w:pPr>
        <w:jc w:val="both"/>
        <w:rPr>
          <w:sz w:val="32"/>
          <w:szCs w:val="32"/>
        </w:rPr>
      </w:pPr>
      <w:r>
        <w:rPr>
          <w:sz w:val="32"/>
          <w:szCs w:val="32"/>
        </w:rPr>
        <w:t>So Exodus uses real history to teach us, and Our Lord in the Gospel uses a fictional story, a parable, to reprove those who disbelieve in prayer, to correct those who have ceased to pray: even an unrighteous human judge</w:t>
      </w:r>
      <w:r w:rsidR="00C64EF8">
        <w:rPr>
          <w:sz w:val="32"/>
          <w:szCs w:val="32"/>
        </w:rPr>
        <w:t xml:space="preserve"> </w:t>
      </w:r>
      <w:r>
        <w:rPr>
          <w:sz w:val="32"/>
          <w:szCs w:val="32"/>
        </w:rPr>
        <w:t xml:space="preserve">will give justice if the poor widow badgers him enough. How much more will God, Who is all Righteousness, give justice when we pray to Him? </w:t>
      </w:r>
    </w:p>
    <w:p w14:paraId="460D74DE" w14:textId="77777777" w:rsidR="00AD0E67" w:rsidRDefault="00E917D6" w:rsidP="008F0BB1">
      <w:pPr>
        <w:jc w:val="both"/>
        <w:rPr>
          <w:sz w:val="32"/>
          <w:szCs w:val="32"/>
        </w:rPr>
      </w:pPr>
      <w:r>
        <w:rPr>
          <w:sz w:val="32"/>
          <w:szCs w:val="32"/>
        </w:rPr>
        <w:lastRenderedPageBreak/>
        <w:t>Our Lord ends that parable with a chilling line “Nevertheless, when the Son of Man comes, will He find faith on earth</w:t>
      </w:r>
      <w:r w:rsidR="00CE15CD">
        <w:rPr>
          <w:sz w:val="32"/>
          <w:szCs w:val="32"/>
        </w:rPr>
        <w:t xml:space="preserve">?” Commenting on this, S. Augustine writes, “When faith fails, prayer dies.” So today take this lesson, this reproof, this correction, from Sacred Scripture: stir up the faith that is in you, and persevere in prayer. </w:t>
      </w:r>
      <w:r w:rsidR="00485F29">
        <w:rPr>
          <w:sz w:val="32"/>
          <w:szCs w:val="32"/>
        </w:rPr>
        <w:t xml:space="preserve">“Continue in what you have learned and have firmly believed,” </w:t>
      </w:r>
      <w:r w:rsidR="00AD0E67">
        <w:rPr>
          <w:sz w:val="32"/>
          <w:szCs w:val="32"/>
        </w:rPr>
        <w:t xml:space="preserve">taking the Holy Scriptures as your guide. Did you know you can gain a plenary indulgence every single day by reading the Bible for half an hour, and fulfilling the usual conditions of going to confession and communion, and praying for the Pope’s intentions? </w:t>
      </w:r>
    </w:p>
    <w:p w14:paraId="174BC87C" w14:textId="5549096E" w:rsidR="002850D1" w:rsidRDefault="002850D1" w:rsidP="008F0BB1">
      <w:pPr>
        <w:jc w:val="both"/>
        <w:rPr>
          <w:sz w:val="32"/>
          <w:szCs w:val="32"/>
        </w:rPr>
      </w:pPr>
      <w:r>
        <w:rPr>
          <w:sz w:val="32"/>
          <w:szCs w:val="32"/>
        </w:rPr>
        <w:t>So take up your Bibles and read them, and find God’s words to strengthen you</w:t>
      </w:r>
      <w:r w:rsidR="00C64EF8">
        <w:rPr>
          <w:sz w:val="32"/>
          <w:szCs w:val="32"/>
        </w:rPr>
        <w:t xml:space="preserve">r </w:t>
      </w:r>
      <w:r>
        <w:rPr>
          <w:sz w:val="32"/>
          <w:szCs w:val="32"/>
        </w:rPr>
        <w:t>faith, to keep you constant in prayer</w:t>
      </w:r>
      <w:r w:rsidR="00C64EF8">
        <w:rPr>
          <w:sz w:val="32"/>
          <w:szCs w:val="32"/>
        </w:rPr>
        <w:t>.</w:t>
      </w:r>
    </w:p>
    <w:p w14:paraId="4E49690D" w14:textId="67A1D24B" w:rsidR="002A41AD" w:rsidRPr="00F97B2E" w:rsidRDefault="00AD0E67" w:rsidP="008F0BB1">
      <w:pPr>
        <w:jc w:val="both"/>
        <w:rPr>
          <w:sz w:val="32"/>
          <w:szCs w:val="32"/>
        </w:rPr>
      </w:pPr>
      <w:r>
        <w:rPr>
          <w:sz w:val="32"/>
          <w:szCs w:val="32"/>
        </w:rPr>
        <w:t xml:space="preserve"> </w:t>
      </w:r>
    </w:p>
    <w:sectPr w:rsidR="002A41AD" w:rsidRPr="00F97B2E" w:rsidSect="009B5D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58"/>
    <w:rsid w:val="00007B15"/>
    <w:rsid w:val="000A2543"/>
    <w:rsid w:val="00160CB9"/>
    <w:rsid w:val="001C6496"/>
    <w:rsid w:val="002850D1"/>
    <w:rsid w:val="002A41AD"/>
    <w:rsid w:val="003176D4"/>
    <w:rsid w:val="00336378"/>
    <w:rsid w:val="00431867"/>
    <w:rsid w:val="00485F29"/>
    <w:rsid w:val="004B3C22"/>
    <w:rsid w:val="004D2C37"/>
    <w:rsid w:val="004D6B9B"/>
    <w:rsid w:val="004F2E4D"/>
    <w:rsid w:val="0053017A"/>
    <w:rsid w:val="006165B4"/>
    <w:rsid w:val="006F4720"/>
    <w:rsid w:val="007F2658"/>
    <w:rsid w:val="008B1B44"/>
    <w:rsid w:val="008E2355"/>
    <w:rsid w:val="008F0BB1"/>
    <w:rsid w:val="009070F9"/>
    <w:rsid w:val="009B5D58"/>
    <w:rsid w:val="009F698D"/>
    <w:rsid w:val="00A10C19"/>
    <w:rsid w:val="00A86E3C"/>
    <w:rsid w:val="00AD0E67"/>
    <w:rsid w:val="00B37BE7"/>
    <w:rsid w:val="00C361B5"/>
    <w:rsid w:val="00C64EF8"/>
    <w:rsid w:val="00C67273"/>
    <w:rsid w:val="00CE15CD"/>
    <w:rsid w:val="00D27416"/>
    <w:rsid w:val="00DA75A5"/>
    <w:rsid w:val="00E917D6"/>
    <w:rsid w:val="00EF7010"/>
    <w:rsid w:val="00F1708C"/>
    <w:rsid w:val="00F97B2E"/>
    <w:rsid w:val="00FE3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F991"/>
  <w15:chartTrackingRefBased/>
  <w15:docId w15:val="{E38ECC66-6C6E-487C-9B4C-792BDBEF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4"/>
    <w:rPr>
      <w:rFonts w:ascii="Garamond" w:hAnsi="Garamond"/>
    </w:rPr>
  </w:style>
  <w:style w:type="paragraph" w:styleId="Heading1">
    <w:name w:val="heading 1"/>
    <w:basedOn w:val="Normal"/>
    <w:next w:val="Normal"/>
    <w:link w:val="Heading1Char"/>
    <w:uiPriority w:val="9"/>
    <w:qFormat/>
    <w:rsid w:val="009B5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D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D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5D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5D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5D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5D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5D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D58"/>
    <w:rPr>
      <w:rFonts w:eastAsiaTheme="majorEastAsia" w:cstheme="majorBidi"/>
      <w:color w:val="272727" w:themeColor="text1" w:themeTint="D8"/>
    </w:rPr>
  </w:style>
  <w:style w:type="paragraph" w:styleId="Title">
    <w:name w:val="Title"/>
    <w:basedOn w:val="Normal"/>
    <w:next w:val="Normal"/>
    <w:link w:val="TitleChar"/>
    <w:uiPriority w:val="10"/>
    <w:qFormat/>
    <w:rsid w:val="009B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D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D58"/>
    <w:pPr>
      <w:spacing w:before="160"/>
      <w:jc w:val="center"/>
    </w:pPr>
    <w:rPr>
      <w:i/>
      <w:iCs/>
      <w:color w:val="404040" w:themeColor="text1" w:themeTint="BF"/>
    </w:rPr>
  </w:style>
  <w:style w:type="character" w:customStyle="1" w:styleId="QuoteChar">
    <w:name w:val="Quote Char"/>
    <w:basedOn w:val="DefaultParagraphFont"/>
    <w:link w:val="Quote"/>
    <w:uiPriority w:val="29"/>
    <w:rsid w:val="009B5D58"/>
    <w:rPr>
      <w:rFonts w:ascii="Garamond" w:hAnsi="Garamond"/>
      <w:i/>
      <w:iCs/>
      <w:color w:val="404040" w:themeColor="text1" w:themeTint="BF"/>
    </w:rPr>
  </w:style>
  <w:style w:type="paragraph" w:styleId="ListParagraph">
    <w:name w:val="List Paragraph"/>
    <w:basedOn w:val="Normal"/>
    <w:uiPriority w:val="34"/>
    <w:qFormat/>
    <w:rsid w:val="009B5D58"/>
    <w:pPr>
      <w:ind w:left="720"/>
      <w:contextualSpacing/>
    </w:pPr>
  </w:style>
  <w:style w:type="character" w:styleId="IntenseEmphasis">
    <w:name w:val="Intense Emphasis"/>
    <w:basedOn w:val="DefaultParagraphFont"/>
    <w:uiPriority w:val="21"/>
    <w:qFormat/>
    <w:rsid w:val="009B5D58"/>
    <w:rPr>
      <w:i/>
      <w:iCs/>
      <w:color w:val="0F4761" w:themeColor="accent1" w:themeShade="BF"/>
    </w:rPr>
  </w:style>
  <w:style w:type="paragraph" w:styleId="IntenseQuote">
    <w:name w:val="Intense Quote"/>
    <w:basedOn w:val="Normal"/>
    <w:next w:val="Normal"/>
    <w:link w:val="IntenseQuoteChar"/>
    <w:uiPriority w:val="30"/>
    <w:qFormat/>
    <w:rsid w:val="009B5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D58"/>
    <w:rPr>
      <w:rFonts w:ascii="Garamond" w:hAnsi="Garamond"/>
      <w:i/>
      <w:iCs/>
      <w:color w:val="0F4761" w:themeColor="accent1" w:themeShade="BF"/>
    </w:rPr>
  </w:style>
  <w:style w:type="character" w:styleId="IntenseReference">
    <w:name w:val="Intense Reference"/>
    <w:basedOn w:val="DefaultParagraphFont"/>
    <w:uiPriority w:val="32"/>
    <w:qFormat/>
    <w:rsid w:val="009B5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Matthew Topham</dc:creator>
  <cp:keywords/>
  <dc:description/>
  <cp:lastModifiedBy>Fr Matthew Topham</cp:lastModifiedBy>
  <cp:revision>26</cp:revision>
  <dcterms:created xsi:type="dcterms:W3CDTF">2025-10-17T11:41:00Z</dcterms:created>
  <dcterms:modified xsi:type="dcterms:W3CDTF">2025-10-18T15:20:00Z</dcterms:modified>
</cp:coreProperties>
</file>